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B8C66">
      <w:pPr>
        <w:jc w:val="both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附件4</w:t>
      </w:r>
    </w:p>
    <w:p w14:paraId="6A397B96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南丹县人民医院政府采购代理机构考核评分表</w:t>
      </w:r>
    </w:p>
    <w:p w14:paraId="56D1C005">
      <w:pPr>
        <w:ind w:firstLine="560" w:firstLineChars="200"/>
        <w:jc w:val="both"/>
        <w:rPr>
          <w:rFonts w:hint="eastAsia" w:ascii="仿宋_GB2312" w:hAnsi="仿宋_GB2312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受考核代理机构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：                          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年度           考核</w:t>
      </w:r>
      <w:r>
        <w:rPr>
          <w:rFonts w:hint="eastAsia" w:ascii="宋体" w:hAnsi="宋体" w:cs="宋体"/>
          <w:color w:val="auto"/>
          <w:sz w:val="28"/>
          <w:szCs w:val="28"/>
        </w:rPr>
        <w:t>时间：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>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2262"/>
        <w:gridCol w:w="785"/>
        <w:gridCol w:w="7337"/>
        <w:gridCol w:w="825"/>
        <w:gridCol w:w="931"/>
      </w:tblGrid>
      <w:tr w14:paraId="57C7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</w:trPr>
        <w:tc>
          <w:tcPr>
            <w:tcW w:w="1316" w:type="dxa"/>
            <w:noWrap w:val="0"/>
            <w:vAlign w:val="center"/>
          </w:tcPr>
          <w:p w14:paraId="67C89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262" w:type="dxa"/>
            <w:noWrap w:val="0"/>
            <w:vAlign w:val="center"/>
          </w:tcPr>
          <w:p w14:paraId="3B21B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考核内容</w:t>
            </w:r>
          </w:p>
        </w:tc>
        <w:tc>
          <w:tcPr>
            <w:tcW w:w="785" w:type="dxa"/>
            <w:noWrap w:val="0"/>
            <w:vAlign w:val="center"/>
          </w:tcPr>
          <w:p w14:paraId="4D04C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7337" w:type="dxa"/>
            <w:noWrap w:val="0"/>
            <w:vAlign w:val="center"/>
          </w:tcPr>
          <w:p w14:paraId="02B15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考核标准</w:t>
            </w:r>
          </w:p>
        </w:tc>
        <w:tc>
          <w:tcPr>
            <w:tcW w:w="825" w:type="dxa"/>
            <w:noWrap w:val="0"/>
            <w:vAlign w:val="center"/>
          </w:tcPr>
          <w:p w14:paraId="768C9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考核得分</w:t>
            </w:r>
          </w:p>
        </w:tc>
        <w:tc>
          <w:tcPr>
            <w:tcW w:w="931" w:type="dxa"/>
            <w:noWrap w:val="0"/>
            <w:vAlign w:val="center"/>
          </w:tcPr>
          <w:p w14:paraId="1D1D5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扣分理由</w:t>
            </w:r>
          </w:p>
        </w:tc>
      </w:tr>
      <w:tr w14:paraId="3A16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1316" w:type="dxa"/>
            <w:noWrap w:val="0"/>
            <w:vAlign w:val="center"/>
          </w:tcPr>
          <w:p w14:paraId="4CA9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组织协调</w:t>
            </w:r>
          </w:p>
        </w:tc>
        <w:tc>
          <w:tcPr>
            <w:tcW w:w="2262" w:type="dxa"/>
            <w:noWrap w:val="0"/>
            <w:vAlign w:val="center"/>
          </w:tcPr>
          <w:p w14:paraId="43B72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组织的招标采购文件评审、论证、开标、评标等活动合法有序</w:t>
            </w:r>
          </w:p>
        </w:tc>
        <w:tc>
          <w:tcPr>
            <w:tcW w:w="785" w:type="dxa"/>
            <w:noWrap w:val="0"/>
            <w:vAlign w:val="center"/>
          </w:tcPr>
          <w:p w14:paraId="00118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337" w:type="dxa"/>
            <w:noWrap w:val="0"/>
            <w:vAlign w:val="center"/>
          </w:tcPr>
          <w:p w14:paraId="3218A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因代理机构自身工作失误导致采购流程安排不合理，每延误或被迫推迟采购活动日程一次，扣2分。</w:t>
            </w:r>
          </w:p>
          <w:p w14:paraId="31B1D9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2.因代理机构自身工作失误导致供应商提出质疑，且质疑经查证属实的，一次扣3分。</w:t>
            </w:r>
          </w:p>
          <w:p w14:paraId="024BF3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3.因代理机构自身工作失误导致供应商向财政部门投诉，且投诉经查证属实的，一次扣5分。 </w:t>
            </w:r>
          </w:p>
          <w:p w14:paraId="08BFAF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4.因代理机构自身工作严重失误导致评标（评审）活动严重受阻、项目废标或采购活动失败的，一次性扣10分。</w:t>
            </w:r>
          </w:p>
          <w:p w14:paraId="1570C3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5.受到质疑、投诉后，代理机构能积极配合澄清、主动纠正错误并取得相关方谅解的，可酌情减少扣分（减少不超过50%）。  </w:t>
            </w:r>
          </w:p>
        </w:tc>
        <w:tc>
          <w:tcPr>
            <w:tcW w:w="825" w:type="dxa"/>
            <w:noWrap w:val="0"/>
            <w:vAlign w:val="top"/>
          </w:tcPr>
          <w:p w14:paraId="735E7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2A03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E2C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1316" w:type="dxa"/>
            <w:noWrap w:val="0"/>
            <w:vAlign w:val="center"/>
          </w:tcPr>
          <w:p w14:paraId="69CE1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工作效率</w:t>
            </w:r>
          </w:p>
        </w:tc>
        <w:tc>
          <w:tcPr>
            <w:tcW w:w="2262" w:type="dxa"/>
            <w:noWrap w:val="0"/>
            <w:vAlign w:val="center"/>
          </w:tcPr>
          <w:p w14:paraId="15C06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项目能够按照进度及时高效进行。</w:t>
            </w:r>
          </w:p>
        </w:tc>
        <w:tc>
          <w:tcPr>
            <w:tcW w:w="785" w:type="dxa"/>
            <w:noWrap w:val="0"/>
            <w:vAlign w:val="center"/>
          </w:tcPr>
          <w:p w14:paraId="3CBB8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337" w:type="dxa"/>
            <w:noWrap w:val="0"/>
            <w:vAlign w:val="center"/>
          </w:tcPr>
          <w:p w14:paraId="189BF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1.公开招标项目接受委托并接收完整采购需求文件后，超过协商同意时限未出具初稿的，每延迟1天扣0.5分（扣分上限2分）；非公开招标项目类似情形同样扣分。</w:t>
            </w:r>
          </w:p>
          <w:p w14:paraId="77582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 招标采购文件的发出、澄清、答疑、修改未按规定时限完成及备案，每次扣1分。</w:t>
            </w:r>
          </w:p>
          <w:p w14:paraId="38921E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3.评标结束后，评标报告或中标通知书未按规定时限上报、审核及送达，每次扣1分。  </w:t>
            </w:r>
          </w:p>
          <w:p w14:paraId="404AA6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加分项：代理机构在满足协同工作要求的前提下，提前2天以上完成项目相关任务并经医院验收合格的，每项次加1分（加分上限5分）。 </w:t>
            </w:r>
          </w:p>
        </w:tc>
        <w:tc>
          <w:tcPr>
            <w:tcW w:w="825" w:type="dxa"/>
            <w:noWrap w:val="0"/>
            <w:vAlign w:val="top"/>
          </w:tcPr>
          <w:p w14:paraId="30DF7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79616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70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16" w:type="dxa"/>
            <w:noWrap w:val="0"/>
            <w:vAlign w:val="center"/>
          </w:tcPr>
          <w:p w14:paraId="6BABB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服务意识</w:t>
            </w:r>
          </w:p>
        </w:tc>
        <w:tc>
          <w:tcPr>
            <w:tcW w:w="2262" w:type="dxa"/>
            <w:noWrap w:val="0"/>
            <w:vAlign w:val="center"/>
          </w:tcPr>
          <w:p w14:paraId="25905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能够为医院提供专业咨询服务，积极主动协助医院推进项目</w:t>
            </w:r>
          </w:p>
        </w:tc>
        <w:tc>
          <w:tcPr>
            <w:tcW w:w="785" w:type="dxa"/>
            <w:noWrap w:val="0"/>
            <w:vAlign w:val="center"/>
          </w:tcPr>
          <w:p w14:paraId="0B360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337" w:type="dxa"/>
            <w:noWrap w:val="0"/>
            <w:vAlign w:val="center"/>
          </w:tcPr>
          <w:p w14:paraId="6D1C1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一档（7分）：项目服务团队人员配备合理，服务意识强，工作主动性高，能针对医院采购项目特点提供专业咨询建议并提出优化方案；受委托项目主动推进、高效完成。 </w:t>
            </w:r>
          </w:p>
          <w:p w14:paraId="6DDC8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二档（4分）：项目服务团队人员配备基本合理，服务意识较强，工作较为主动，能在规定时限内配合医院完成采购工作，但未主动提出合理化建议。</w:t>
            </w:r>
          </w:p>
          <w:p w14:paraId="618FD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三档（1分）：项目服务团队人员配备不合理，服务意识差，工作欠主动，与医院沟通不到位，受委托项目推进缓慢或出现影响采购活动有效办理的情况。 </w:t>
            </w:r>
          </w:p>
          <w:p w14:paraId="4F9F0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加分项：代理机构能针对所代理项目主动提出优化采购流程、节约成本或缩短周期等建议，且经医院采纳的，每个项目加2分（加分上限5分）。</w:t>
            </w:r>
          </w:p>
        </w:tc>
        <w:tc>
          <w:tcPr>
            <w:tcW w:w="825" w:type="dxa"/>
            <w:noWrap w:val="0"/>
            <w:vAlign w:val="top"/>
          </w:tcPr>
          <w:p w14:paraId="5985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1E0B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E6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1316" w:type="dxa"/>
            <w:noWrap w:val="0"/>
            <w:vAlign w:val="center"/>
          </w:tcPr>
          <w:p w14:paraId="55BFE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专业水平</w:t>
            </w:r>
          </w:p>
        </w:tc>
        <w:tc>
          <w:tcPr>
            <w:tcW w:w="2262" w:type="dxa"/>
            <w:noWrap w:val="0"/>
            <w:vAlign w:val="center"/>
          </w:tcPr>
          <w:p w14:paraId="2B8D0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代理机构及其工作人员熟悉政府采购、招标投标政策法规、工作程序；处理质疑、投诉及时高效</w:t>
            </w:r>
          </w:p>
        </w:tc>
        <w:tc>
          <w:tcPr>
            <w:tcW w:w="785" w:type="dxa"/>
            <w:noWrap w:val="0"/>
            <w:vAlign w:val="center"/>
          </w:tcPr>
          <w:p w14:paraId="11460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7337" w:type="dxa"/>
            <w:noWrap w:val="0"/>
            <w:vAlign w:val="top"/>
          </w:tcPr>
          <w:p w14:paraId="661FF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代理活动中各环节备案时，因代理专业人员不熟悉法律法规等原因，需2次以上方能备案的，每项目扣5分；因工作程序失误造成招标失败的，每项目扣10分；</w:t>
            </w:r>
          </w:p>
          <w:p w14:paraId="7D5819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采购公告或招标采购文件公告后因前后条款自相矛盾、相同内容表述不一致、字句表达的内容有歧义等引起投标人理解混乱，从而造成因答疑顺延开标日期的，每项目扣5分；因招标采购文件表述不详或缺陷致使评标失败的，每项目扣10分；</w:t>
            </w:r>
          </w:p>
          <w:p w14:paraId="1EA6EE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招标采购文件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存在违规设置排他性、唯一性和指向性技术参数和指标，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从而造成因质疑顺延开标日期的，每项目扣10分；致使评标失败的，每项目扣20分；</w:t>
            </w:r>
          </w:p>
          <w:p w14:paraId="37E40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答疑会上不依法依规释疑，每次扣5分；接到质疑函后未在规定的时间内给予答复扣5分；未配合投诉处理扣10分。</w:t>
            </w:r>
          </w:p>
          <w:p w14:paraId="481B7C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项目结束后30日内未向医院移交成果文件，每项目扣5分，每延误5天扣1分。</w:t>
            </w:r>
          </w:p>
          <w:p w14:paraId="4E6516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除法律法规及相关规章制度禁止的情形外，未按医院要求，提供相关采购项目统计数据的，每次扣5分。</w:t>
            </w:r>
          </w:p>
          <w:p w14:paraId="698CE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加分项：项目结束后15日内（或按合同约定期限）向医院移交全部招标采购成果文件（含纸质档案、电子档案、开评标录音录像），且资料完整、清晰、规范的，每个项目加1分（加分上限5分）。 </w:t>
            </w:r>
          </w:p>
        </w:tc>
        <w:tc>
          <w:tcPr>
            <w:tcW w:w="825" w:type="dxa"/>
            <w:noWrap w:val="0"/>
            <w:vAlign w:val="top"/>
          </w:tcPr>
          <w:p w14:paraId="57F9E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41D51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51C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6" w:hRule="atLeast"/>
        </w:trPr>
        <w:tc>
          <w:tcPr>
            <w:tcW w:w="1316" w:type="dxa"/>
            <w:noWrap w:val="0"/>
            <w:vAlign w:val="center"/>
          </w:tcPr>
          <w:p w14:paraId="42080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人员素质</w:t>
            </w:r>
          </w:p>
        </w:tc>
        <w:tc>
          <w:tcPr>
            <w:tcW w:w="2262" w:type="dxa"/>
            <w:noWrap w:val="0"/>
            <w:vAlign w:val="center"/>
          </w:tcPr>
          <w:p w14:paraId="6C492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项目负责人认真负责，具备综合素质，与医院沟通及时高效，对项目进度管控有效</w:t>
            </w:r>
          </w:p>
        </w:tc>
        <w:tc>
          <w:tcPr>
            <w:tcW w:w="785" w:type="dxa"/>
            <w:noWrap w:val="0"/>
            <w:vAlign w:val="center"/>
          </w:tcPr>
          <w:p w14:paraId="7453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337" w:type="dxa"/>
            <w:noWrap w:val="0"/>
            <w:vAlign w:val="center"/>
          </w:tcPr>
          <w:p w14:paraId="3A7A15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一档（8分）：项目负责人业务能力强，熟悉政府采购和招投标法律法规，能根据医院采购需求主动提供专业咨询意见，协助完成参数校正和需求论证，关键问题沟通及时高效，按时按质完成项目采购。 </w:t>
            </w:r>
          </w:p>
          <w:p w14:paraId="6F26A8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二档（4分）：项目负责人业务能力较强，能积极熟悉项目情况，主动与医院沟通，能配合医院按时完成委托采购项目，但未能主动提出专业优化建议，某些环节进度需医院催促。 </w:t>
            </w:r>
          </w:p>
          <w:p w14:paraId="4F803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三档（1分）：项目负责人业务能力不足，对项目情况了解不够，工作主动性不足，与医院缺乏有效沟通，项目推进滞后，未能按时完成委托采购项目。</w:t>
            </w:r>
          </w:p>
          <w:p w14:paraId="00CD6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扣分项：代理机构未按合同约定和响应文件承诺擅自更换项目负责人的，每发现一次扣5分。</w:t>
            </w:r>
          </w:p>
        </w:tc>
        <w:tc>
          <w:tcPr>
            <w:tcW w:w="825" w:type="dxa"/>
            <w:noWrap w:val="0"/>
            <w:vAlign w:val="top"/>
          </w:tcPr>
          <w:p w14:paraId="5CE8A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5ABE8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949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1" w:hRule="atLeast"/>
        </w:trPr>
        <w:tc>
          <w:tcPr>
            <w:tcW w:w="1316" w:type="dxa"/>
            <w:noWrap w:val="0"/>
            <w:vAlign w:val="center"/>
          </w:tcPr>
          <w:p w14:paraId="73EDE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一票否决情形</w:t>
            </w:r>
          </w:p>
        </w:tc>
        <w:tc>
          <w:tcPr>
            <w:tcW w:w="2262" w:type="dxa"/>
            <w:noWrap w:val="0"/>
            <w:vAlign w:val="center"/>
          </w:tcPr>
          <w:p w14:paraId="31CAB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当出现考核标准中规定的情形，则视为年度考核不通过。</w:t>
            </w:r>
          </w:p>
        </w:tc>
        <w:tc>
          <w:tcPr>
            <w:tcW w:w="785" w:type="dxa"/>
            <w:noWrap w:val="0"/>
            <w:vAlign w:val="center"/>
          </w:tcPr>
          <w:p w14:paraId="69450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  <w:tc>
          <w:tcPr>
            <w:tcW w:w="7337" w:type="dxa"/>
            <w:noWrap w:val="0"/>
            <w:vAlign w:val="center"/>
          </w:tcPr>
          <w:p w14:paraId="2F0437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与供应商串通，将招标采购文件内容、技术参数在发布前泄露给特定供应商，为其在采购中获得竞争优势提供帮助的，一经查实，年度考核不合格，医院有权立即终止合作并保留追究法律责任的权利。</w:t>
            </w:r>
          </w:p>
          <w:p w14:paraId="23A2E7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代理机构在评标（评审）过程中发现或知晓可能存在违法违规行为，未及时向医院采购人代表、评标委员会或现场监督部门等具有法定权能的主体报告，且未如实完整记录、未按合同约定及时向医院报告的，年度考核不合格，医院有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终止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合作，情节严重的追究法律责任。 </w:t>
            </w:r>
          </w:p>
          <w:p w14:paraId="1A17F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3.代理机构未按承诺在采购文件中明示代理服务费收取方式及标准，或向供应商违规收取标书费、报名费、评审费、专家费、加班费等额外费用，一经查实，年度考核不合格。 </w:t>
            </w:r>
          </w:p>
        </w:tc>
        <w:tc>
          <w:tcPr>
            <w:tcW w:w="825" w:type="dxa"/>
            <w:noWrap w:val="0"/>
            <w:vAlign w:val="top"/>
          </w:tcPr>
          <w:p w14:paraId="5AEAF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28334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63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16" w:type="dxa"/>
            <w:noWrap w:val="0"/>
            <w:vAlign w:val="center"/>
          </w:tcPr>
          <w:p w14:paraId="69862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2262" w:type="dxa"/>
            <w:noWrap w:val="0"/>
            <w:vAlign w:val="center"/>
          </w:tcPr>
          <w:p w14:paraId="76D0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5" w:type="dxa"/>
            <w:noWrap w:val="0"/>
            <w:vAlign w:val="center"/>
          </w:tcPr>
          <w:p w14:paraId="69053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7337" w:type="dxa"/>
            <w:noWrap w:val="0"/>
            <w:vAlign w:val="center"/>
          </w:tcPr>
          <w:p w14:paraId="2E52A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4F73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1" w:type="dxa"/>
            <w:noWrap w:val="0"/>
            <w:vAlign w:val="top"/>
          </w:tcPr>
          <w:p w14:paraId="31EFD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80E29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227ACA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24"/>
          <w:szCs w:val="24"/>
        </w:rPr>
        <w:t>考核等级划分与结果运用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优秀 ≥90分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保留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4"/>
          <w:szCs w:val="24"/>
        </w:rPr>
        <w:t>库资格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良好 80～89分 保留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4"/>
          <w:szCs w:val="24"/>
        </w:rPr>
        <w:t>库资格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4"/>
          <w:szCs w:val="24"/>
        </w:rPr>
        <w:t>基本合格 60～79分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保留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4"/>
          <w:szCs w:val="24"/>
        </w:rPr>
        <w:t>库资格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但需提交书面整改报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sz w:val="24"/>
          <w:szCs w:val="24"/>
        </w:rPr>
        <w:t>暂缓委托新的代理项目，整改合格后经医院确认方可恢复委托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4"/>
          <w:szCs w:val="24"/>
        </w:rPr>
        <w:t>不合格 &lt;60分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取消入库资格，不得参与医院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下一轮</w:t>
      </w:r>
      <w:r>
        <w:rPr>
          <w:rFonts w:hint="eastAsia" w:ascii="仿宋_GB2312" w:hAnsi="仿宋_GB2312" w:eastAsia="仿宋_GB2312" w:cs="仿宋_GB2312"/>
          <w:sz w:val="24"/>
          <w:szCs w:val="24"/>
        </w:rPr>
        <w:t>代理机构遴选。</w:t>
      </w:r>
    </w:p>
    <w:p w14:paraId="438835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二、受考核</w:t>
      </w:r>
      <w:r>
        <w:rPr>
          <w:rFonts w:hint="eastAsia" w:ascii="仿宋_GB2312" w:hAnsi="仿宋_GB2312" w:eastAsia="仿宋_GB2312" w:cs="仿宋_GB2312"/>
          <w:sz w:val="24"/>
          <w:szCs w:val="24"/>
        </w:rPr>
        <w:t>代理机构对考核结果有异议的，可在收到考核结果后7个工作日内向医院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招标</w:t>
      </w:r>
      <w:r>
        <w:rPr>
          <w:rFonts w:hint="eastAsia" w:ascii="仿宋_GB2312" w:hAnsi="仿宋_GB2312" w:eastAsia="仿宋_GB2312" w:cs="仿宋_GB2312"/>
          <w:sz w:val="24"/>
          <w:szCs w:val="24"/>
        </w:rPr>
        <w:t>采购办公室提交书面申诉材料，医院应在15个工作日内组织复核并作出最终决定。</w:t>
      </w:r>
    </w:p>
    <w:p w14:paraId="6A0CB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</w:rPr>
      </w:pPr>
    </w:p>
    <w:p w14:paraId="6C19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</w:rPr>
        <w:t>受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考核代理机构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</w:rPr>
        <w:t>负责人签字：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u w:val="none"/>
        </w:rPr>
        <w:t xml:space="preserve"> </w:t>
      </w:r>
    </w:p>
    <w:p w14:paraId="4AF93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Times New Roman" w:hAnsi="Times New Roman" w:eastAsia="仿宋_GB2312" w:cs="Arial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医院考核小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组负责人签字：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 xml:space="preserve"> </w:t>
      </w:r>
    </w:p>
    <w:p w14:paraId="36E12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Times New Roman" w:hAnsi="Times New Roman" w:eastAsia="仿宋_GB2312" w:cs="Arial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考核小组成员签字：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 xml:space="preserve"> </w:t>
      </w:r>
    </w:p>
    <w:p w14:paraId="28782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Arial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 xml:space="preserve">                              </w:t>
      </w:r>
    </w:p>
    <w:p w14:paraId="38AD7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Times New Roman" w:hAnsi="Times New Roman" w:eastAsia="仿宋_GB2312" w:cs="Arial"/>
          <w:color w:val="auto"/>
          <w:sz w:val="32"/>
          <w:szCs w:val="32"/>
          <w:u w:val="single"/>
        </w:rPr>
      </w:pPr>
    </w:p>
    <w:sectPr>
      <w:footerReference r:id="rId3" w:type="default"/>
      <w:pgSz w:w="16838" w:h="11906" w:orient="landscape"/>
      <w:pgMar w:top="1440" w:right="1587" w:bottom="1440" w:left="1587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154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9E9082">
                          <w:pPr>
                            <w:pStyle w:val="4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9E9082">
                    <w:pPr>
                      <w:pStyle w:val="4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2M2UyOWNjZDkxZGUyZWEwY2ZiNmFiYmFmZTExZGEifQ=="/>
  </w:docVars>
  <w:rsids>
    <w:rsidRoot w:val="00000000"/>
    <w:rsid w:val="040507EC"/>
    <w:rsid w:val="07465F84"/>
    <w:rsid w:val="083C5814"/>
    <w:rsid w:val="08F47A92"/>
    <w:rsid w:val="0A995124"/>
    <w:rsid w:val="0B5419F4"/>
    <w:rsid w:val="124A33D0"/>
    <w:rsid w:val="12591A67"/>
    <w:rsid w:val="14EC4DA1"/>
    <w:rsid w:val="1554216D"/>
    <w:rsid w:val="158521DA"/>
    <w:rsid w:val="1C2D3F0B"/>
    <w:rsid w:val="1CBE02DB"/>
    <w:rsid w:val="1CE732BB"/>
    <w:rsid w:val="1E200CF1"/>
    <w:rsid w:val="204D1910"/>
    <w:rsid w:val="217F2713"/>
    <w:rsid w:val="21A4774E"/>
    <w:rsid w:val="234F2931"/>
    <w:rsid w:val="2582612C"/>
    <w:rsid w:val="28814A83"/>
    <w:rsid w:val="29AE4CF4"/>
    <w:rsid w:val="29DF7F93"/>
    <w:rsid w:val="2B502629"/>
    <w:rsid w:val="30D1778F"/>
    <w:rsid w:val="31075CD7"/>
    <w:rsid w:val="31815AF3"/>
    <w:rsid w:val="324D10E6"/>
    <w:rsid w:val="327A2E65"/>
    <w:rsid w:val="333A0B2D"/>
    <w:rsid w:val="345A685A"/>
    <w:rsid w:val="350C7428"/>
    <w:rsid w:val="363870C8"/>
    <w:rsid w:val="367E6AA5"/>
    <w:rsid w:val="39C70E27"/>
    <w:rsid w:val="3A936502"/>
    <w:rsid w:val="3D4339FF"/>
    <w:rsid w:val="3E622809"/>
    <w:rsid w:val="3E834C59"/>
    <w:rsid w:val="3EE20049"/>
    <w:rsid w:val="3F0F5273"/>
    <w:rsid w:val="3F8D3D23"/>
    <w:rsid w:val="425B65A1"/>
    <w:rsid w:val="42A41642"/>
    <w:rsid w:val="47E512B8"/>
    <w:rsid w:val="49DF11B1"/>
    <w:rsid w:val="4CA74208"/>
    <w:rsid w:val="4D4908DC"/>
    <w:rsid w:val="4E854A1D"/>
    <w:rsid w:val="4F3D4ADC"/>
    <w:rsid w:val="58554389"/>
    <w:rsid w:val="58D77C23"/>
    <w:rsid w:val="5F434264"/>
    <w:rsid w:val="605B3830"/>
    <w:rsid w:val="616205FA"/>
    <w:rsid w:val="62C1482C"/>
    <w:rsid w:val="67575638"/>
    <w:rsid w:val="677551D7"/>
    <w:rsid w:val="69B47B0D"/>
    <w:rsid w:val="6B5A0209"/>
    <w:rsid w:val="7108495F"/>
    <w:rsid w:val="718D136F"/>
    <w:rsid w:val="718F7A48"/>
    <w:rsid w:val="71D46DE1"/>
    <w:rsid w:val="72200435"/>
    <w:rsid w:val="74516537"/>
    <w:rsid w:val="75C37148"/>
    <w:rsid w:val="77C561B1"/>
    <w:rsid w:val="7C091F3A"/>
    <w:rsid w:val="7EB50157"/>
    <w:rsid w:val="7F233312"/>
    <w:rsid w:val="7F8D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Cambria" w:hAnsi="Cambria" w:cs="Times New Roman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5e4fff-e6b1-468f-884f-a18656e17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2251</Words>
  <Characters>2303</Characters>
  <Lines>0</Lines>
  <Paragraphs>0</Paragraphs>
  <TotalTime>0</TotalTime>
  <ScaleCrop>false</ScaleCrop>
  <LinksUpToDate>false</LinksUpToDate>
  <CharactersWithSpaces>2460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2023-09-18T04:05:00Z</dcterms:created>
  <dc:creator>Lenovo</dc:creator>
  <cp:lastModifiedBy>如果有一天</cp:lastModifiedBy>
  <dcterms:modified xsi:type="dcterms:W3CDTF">2026-05-19T08:25:36Z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ECAF7DDAC2034F95977156079FD9D4FB_13</vt:lpwstr>
  </property>
  <property fmtid="{D5CDD505-2E9C-101B-9397-08002B2CF9AE}" pid="4" name="KSOTemplateDocerSaveRecord">
    <vt:lpwstr>eyJoZGlkIjoiODM1MzYwMjdlYzRjNzgzMjI2MWE1ODJhMzMyNDQ1YWIiLCJ1c2VySWQiOiI3MTg5MjI4NDcifQ==</vt:lpwstr>
  </property>
</Properties>
</file>